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415.299988pt;margin-top:-.000017pt;width:179.401pt;height:18.150pt;mso-position-horizontal-relative:page;mso-position-vertical-relative:page;z-index:1024" filled="true" fillcolor="#c0504d" stroked="false">
            <v:fill type="solid"/>
            <w10:wrap type="none"/>
          </v:rect>
        </w:pict>
      </w:r>
    </w:p>
    <w:p>
      <w:pPr>
        <w:spacing w:before="186"/>
        <w:ind w:left="7520" w:right="0" w:firstLine="0"/>
        <w:jc w:val="left"/>
        <w:rPr>
          <w:rFonts w:ascii="華康魏碑體" w:eastAsia="華康魏碑體" w:hint="eastAsia"/>
          <w:sz w:val="24"/>
        </w:rPr>
      </w:pPr>
      <w:r>
        <w:rPr>
          <w:rFonts w:ascii="華康魏碑體" w:eastAsia="華康魏碑體" w:hint="eastAsia"/>
          <w:sz w:val="24"/>
        </w:rPr>
        <w:t>ESG 交通運輸永續獎</w:t>
      </w:r>
    </w:p>
    <w:p>
      <w:pPr>
        <w:pStyle w:val="BodyText"/>
        <w:spacing w:before="4"/>
        <w:rPr>
          <w:rFonts w:ascii="華康魏碑體"/>
          <w:sz w:val="19"/>
        </w:rPr>
      </w:pPr>
    </w:p>
    <w:p>
      <w:pPr>
        <w:spacing w:before="0"/>
        <w:ind w:left="792" w:right="0" w:firstLine="0"/>
        <w:jc w:val="left"/>
        <w:rPr>
          <w:b/>
          <w:sz w:val="40"/>
        </w:rPr>
      </w:pPr>
      <w:r>
        <w:rPr>
          <w:b/>
          <w:sz w:val="40"/>
        </w:rPr>
        <w:t>附件二、</w:t>
      </w:r>
      <w:r>
        <w:rPr>
          <w:rFonts w:ascii="Times New Roman" w:eastAsia="Times New Roman"/>
          <w:b/>
          <w:sz w:val="40"/>
        </w:rPr>
        <w:t>ESG </w:t>
      </w:r>
      <w:r>
        <w:rPr>
          <w:b/>
          <w:sz w:val="40"/>
        </w:rPr>
        <w:t>交通運輸永續獎無重大違規聲明書</w:t>
      </w:r>
    </w:p>
    <w:p>
      <w:pPr>
        <w:pStyle w:val="BodyText"/>
        <w:spacing w:line="295" w:lineRule="auto" w:before="319"/>
        <w:ind w:left="178" w:right="560" w:firstLine="566"/>
        <w:jc w:val="both"/>
      </w:pPr>
      <w:r>
        <w:rPr>
          <w:spacing w:val="-20"/>
        </w:rPr>
        <w:t>本公司絕無違反以下所述政府重大法令及其他與獎項審查項目有關法令之</w:t>
      </w:r>
      <w:r>
        <w:rPr>
          <w:spacing w:val="-42"/>
        </w:rPr>
        <w:t>情事，若經查證有違反相關法令規定、不實陳述或其他爭議事件，以致影響本獎項</w:t>
      </w:r>
      <w:r>
        <w:rPr>
          <w:spacing w:val="-14"/>
        </w:rPr>
        <w:t>形象者，同意無條件放棄資格，並願負相關法律責任。</w:t>
      </w:r>
    </w:p>
    <w:p>
      <w:pPr>
        <w:pStyle w:val="BodyText"/>
        <w:spacing w:before="1"/>
        <w:rPr>
          <w:sz w:val="5"/>
        </w:rPr>
      </w:pPr>
    </w:p>
    <w:tbl>
      <w:tblPr>
        <w:tblW w:w="0" w:type="auto"/>
        <w:jc w:val="left"/>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
        <w:gridCol w:w="7685"/>
        <w:gridCol w:w="567"/>
        <w:gridCol w:w="567"/>
      </w:tblGrid>
      <w:tr>
        <w:trPr>
          <w:trHeight w:val="513" w:hRule="atLeast"/>
        </w:trPr>
        <w:tc>
          <w:tcPr>
            <w:tcW w:w="533" w:type="dxa"/>
          </w:tcPr>
          <w:p>
            <w:pPr>
              <w:pStyle w:val="TableParagraph"/>
              <w:spacing w:before="41"/>
              <w:ind w:right="115"/>
              <w:jc w:val="right"/>
              <w:rPr>
                <w:b/>
                <w:sz w:val="28"/>
              </w:rPr>
            </w:pPr>
            <w:r>
              <w:rPr>
                <w:b/>
                <w:w w:val="100"/>
                <w:sz w:val="28"/>
              </w:rPr>
              <w:t>項</w:t>
            </w:r>
          </w:p>
        </w:tc>
        <w:tc>
          <w:tcPr>
            <w:tcW w:w="7685" w:type="dxa"/>
          </w:tcPr>
          <w:p>
            <w:pPr>
              <w:pStyle w:val="TableParagraph"/>
              <w:spacing w:before="41"/>
              <w:ind w:left="2981" w:right="2972"/>
              <w:jc w:val="center"/>
              <w:rPr>
                <w:b/>
                <w:sz w:val="28"/>
              </w:rPr>
            </w:pPr>
            <w:r>
              <w:rPr>
                <w:b/>
                <w:sz w:val="28"/>
              </w:rPr>
              <w:t>重大違規事項</w:t>
            </w:r>
          </w:p>
        </w:tc>
        <w:tc>
          <w:tcPr>
            <w:tcW w:w="567" w:type="dxa"/>
          </w:tcPr>
          <w:p>
            <w:pPr>
              <w:pStyle w:val="TableParagraph"/>
              <w:spacing w:before="41"/>
              <w:ind w:left="141"/>
              <w:rPr>
                <w:b/>
                <w:sz w:val="28"/>
              </w:rPr>
            </w:pPr>
            <w:r>
              <w:rPr>
                <w:b/>
                <w:w w:val="100"/>
                <w:sz w:val="28"/>
              </w:rPr>
              <w:t>無</w:t>
            </w:r>
          </w:p>
        </w:tc>
        <w:tc>
          <w:tcPr>
            <w:tcW w:w="567" w:type="dxa"/>
          </w:tcPr>
          <w:p>
            <w:pPr>
              <w:pStyle w:val="TableParagraph"/>
              <w:spacing w:before="41"/>
              <w:ind w:left="140"/>
              <w:rPr>
                <w:b/>
                <w:sz w:val="28"/>
              </w:rPr>
            </w:pPr>
            <w:r>
              <w:rPr>
                <w:b/>
                <w:w w:val="100"/>
                <w:sz w:val="28"/>
              </w:rPr>
              <w:t>有</w:t>
            </w:r>
          </w:p>
        </w:tc>
      </w:tr>
      <w:tr>
        <w:trPr>
          <w:trHeight w:val="2661" w:hRule="atLeast"/>
        </w:trPr>
        <w:tc>
          <w:tcPr>
            <w:tcW w:w="533" w:type="dxa"/>
          </w:tcPr>
          <w:p>
            <w:pPr>
              <w:pStyle w:val="TableParagraph"/>
              <w:rPr>
                <w:sz w:val="30"/>
              </w:rPr>
            </w:pPr>
          </w:p>
          <w:p>
            <w:pPr>
              <w:pStyle w:val="TableParagraph"/>
              <w:rPr>
                <w:sz w:val="30"/>
              </w:rPr>
            </w:pPr>
          </w:p>
          <w:p>
            <w:pPr>
              <w:pStyle w:val="TableParagraph"/>
              <w:spacing w:before="13"/>
              <w:rPr>
                <w:sz w:val="25"/>
              </w:rPr>
            </w:pPr>
          </w:p>
          <w:p>
            <w:pPr>
              <w:pStyle w:val="TableParagraph"/>
              <w:ind w:right="185"/>
              <w:jc w:val="right"/>
              <w:rPr>
                <w:rFonts w:ascii="Times New Roman"/>
                <w:sz w:val="28"/>
              </w:rPr>
            </w:pPr>
            <w:r>
              <w:rPr>
                <w:rFonts w:ascii="Times New Roman"/>
                <w:w w:val="100"/>
                <w:sz w:val="28"/>
              </w:rPr>
              <w:t>1</w:t>
            </w:r>
          </w:p>
        </w:tc>
        <w:tc>
          <w:tcPr>
            <w:tcW w:w="7685" w:type="dxa"/>
          </w:tcPr>
          <w:p>
            <w:pPr>
              <w:pStyle w:val="TableParagraph"/>
              <w:spacing w:line="232" w:lineRule="auto" w:before="33"/>
              <w:ind w:left="107" w:right="91"/>
              <w:jc w:val="both"/>
              <w:rPr>
                <w:sz w:val="28"/>
              </w:rPr>
            </w:pPr>
            <w:r>
              <w:rPr>
                <w:spacing w:val="-12"/>
                <w:sz w:val="28"/>
              </w:rPr>
              <w:t>公司於申請截止日三年內，曾發生勞動部「處理重大勞資爭議</w:t>
            </w:r>
            <w:r>
              <w:rPr>
                <w:spacing w:val="-10"/>
                <w:sz w:val="28"/>
              </w:rPr>
              <w:t>事件實施要點」第三點所規定之「重大勞資爭議」事件，內容如下：</w:t>
            </w:r>
          </w:p>
          <w:p>
            <w:pPr>
              <w:pStyle w:val="TableParagraph"/>
              <w:numPr>
                <w:ilvl w:val="0"/>
                <w:numId w:val="1"/>
              </w:numPr>
              <w:tabs>
                <w:tab w:pos="461" w:val="left" w:leader="none"/>
              </w:tabs>
              <w:spacing w:line="232" w:lineRule="auto" w:before="0" w:after="0"/>
              <w:ind w:left="460" w:right="94" w:hanging="353"/>
              <w:jc w:val="left"/>
              <w:rPr>
                <w:sz w:val="28"/>
              </w:rPr>
            </w:pPr>
            <w:r>
              <w:rPr>
                <w:spacing w:val="-15"/>
                <w:sz w:val="28"/>
              </w:rPr>
              <w:t>公營、公用及交通事業或具有危險性、特殊性行業之勞資爭</w:t>
            </w:r>
            <w:r>
              <w:rPr>
                <w:spacing w:val="-3"/>
                <w:sz w:val="28"/>
              </w:rPr>
              <w:t>議，有影響公眾生活或造成公共危險者。</w:t>
            </w:r>
          </w:p>
          <w:p>
            <w:pPr>
              <w:pStyle w:val="TableParagraph"/>
              <w:numPr>
                <w:ilvl w:val="0"/>
                <w:numId w:val="1"/>
              </w:numPr>
              <w:tabs>
                <w:tab w:pos="461" w:val="left" w:leader="none"/>
              </w:tabs>
              <w:spacing w:line="378" w:lineRule="exact" w:before="0" w:after="0"/>
              <w:ind w:left="460" w:right="0" w:hanging="353"/>
              <w:jc w:val="both"/>
              <w:rPr>
                <w:sz w:val="28"/>
              </w:rPr>
            </w:pPr>
            <w:r>
              <w:rPr>
                <w:spacing w:val="-3"/>
                <w:sz w:val="28"/>
              </w:rPr>
              <w:t>發生勞資爭議之事業單位，有擴及其關係企業者。</w:t>
            </w:r>
          </w:p>
          <w:p>
            <w:pPr>
              <w:pStyle w:val="TableParagraph"/>
              <w:numPr>
                <w:ilvl w:val="0"/>
                <w:numId w:val="1"/>
              </w:numPr>
              <w:tabs>
                <w:tab w:pos="461" w:val="left" w:leader="none"/>
              </w:tabs>
              <w:spacing w:line="330" w:lineRule="exact" w:before="0" w:after="0"/>
              <w:ind w:left="460" w:right="0" w:hanging="353"/>
              <w:jc w:val="both"/>
              <w:rPr>
                <w:sz w:val="28"/>
              </w:rPr>
            </w:pPr>
            <w:r>
              <w:rPr>
                <w:spacing w:val="-3"/>
                <w:sz w:val="28"/>
              </w:rPr>
              <w:t>其他勞資爭議有急速發展或擴大而影響社會秩序者。</w:t>
            </w:r>
          </w:p>
        </w:tc>
        <w:tc>
          <w:tcPr>
            <w:tcW w:w="567" w:type="dxa"/>
          </w:tcPr>
          <w:p>
            <w:pPr>
              <w:pStyle w:val="TableParagraph"/>
              <w:rPr>
                <w:rFonts w:ascii="Times New Roman"/>
                <w:sz w:val="28"/>
              </w:rPr>
            </w:pPr>
          </w:p>
        </w:tc>
        <w:tc>
          <w:tcPr>
            <w:tcW w:w="567" w:type="dxa"/>
          </w:tcPr>
          <w:p>
            <w:pPr>
              <w:pStyle w:val="TableParagraph"/>
              <w:rPr>
                <w:rFonts w:ascii="Times New Roman"/>
                <w:sz w:val="28"/>
              </w:rPr>
            </w:pPr>
          </w:p>
        </w:tc>
      </w:tr>
      <w:tr>
        <w:trPr>
          <w:trHeight w:val="3040" w:hRule="atLeast"/>
        </w:trPr>
        <w:tc>
          <w:tcPr>
            <w:tcW w:w="533" w:type="dxa"/>
          </w:tcPr>
          <w:p>
            <w:pPr>
              <w:pStyle w:val="TableParagraph"/>
              <w:rPr>
                <w:sz w:val="30"/>
              </w:rPr>
            </w:pPr>
          </w:p>
          <w:p>
            <w:pPr>
              <w:pStyle w:val="TableParagraph"/>
              <w:rPr>
                <w:sz w:val="30"/>
              </w:rPr>
            </w:pPr>
          </w:p>
          <w:p>
            <w:pPr>
              <w:pStyle w:val="TableParagraph"/>
              <w:spacing w:before="1"/>
              <w:rPr>
                <w:sz w:val="37"/>
              </w:rPr>
            </w:pPr>
          </w:p>
          <w:p>
            <w:pPr>
              <w:pStyle w:val="TableParagraph"/>
              <w:spacing w:before="1"/>
              <w:ind w:right="185"/>
              <w:jc w:val="right"/>
              <w:rPr>
                <w:rFonts w:ascii="Times New Roman"/>
                <w:sz w:val="28"/>
              </w:rPr>
            </w:pPr>
            <w:r>
              <w:rPr>
                <w:rFonts w:ascii="Times New Roman"/>
                <w:w w:val="100"/>
                <w:sz w:val="28"/>
              </w:rPr>
              <w:t>2</w:t>
            </w:r>
          </w:p>
        </w:tc>
        <w:tc>
          <w:tcPr>
            <w:tcW w:w="7685" w:type="dxa"/>
          </w:tcPr>
          <w:p>
            <w:pPr>
              <w:pStyle w:val="TableParagraph"/>
              <w:spacing w:line="385" w:lineRule="exact" w:before="24"/>
              <w:ind w:left="107"/>
              <w:rPr>
                <w:sz w:val="28"/>
              </w:rPr>
            </w:pPr>
            <w:r>
              <w:rPr>
                <w:spacing w:val="-9"/>
                <w:sz w:val="28"/>
              </w:rPr>
              <w:t>公司於申請截止日三年內，曾發生「勞動檢查法」第 </w:t>
            </w:r>
            <w:r>
              <w:rPr>
                <w:rFonts w:ascii="Times New Roman" w:eastAsia="Times New Roman"/>
                <w:sz w:val="28"/>
              </w:rPr>
              <w:t>27</w:t>
            </w:r>
            <w:r>
              <w:rPr>
                <w:rFonts w:ascii="Times New Roman" w:eastAsia="Times New Roman"/>
                <w:spacing w:val="55"/>
                <w:sz w:val="28"/>
              </w:rPr>
              <w:t> </w:t>
            </w:r>
            <w:r>
              <w:rPr>
                <w:spacing w:val="-2"/>
                <w:sz w:val="28"/>
              </w:rPr>
              <w:t>條暨</w:t>
            </w:r>
          </w:p>
          <w:p>
            <w:pPr>
              <w:pStyle w:val="TableParagraph"/>
              <w:spacing w:line="232" w:lineRule="auto" w:before="2"/>
              <w:ind w:left="107" w:right="47"/>
              <w:rPr>
                <w:sz w:val="28"/>
              </w:rPr>
            </w:pPr>
            <w:r>
              <w:rPr>
                <w:sz w:val="28"/>
              </w:rPr>
              <w:t>「勞動檢查法施行細則」第 </w:t>
            </w:r>
            <w:r>
              <w:rPr>
                <w:rFonts w:ascii="Times New Roman" w:eastAsia="Times New Roman"/>
                <w:sz w:val="28"/>
              </w:rPr>
              <w:t>31 </w:t>
            </w:r>
            <w:r>
              <w:rPr>
                <w:sz w:val="28"/>
              </w:rPr>
              <w:t>條規定所稱重大職業災害，內容如下：</w:t>
            </w:r>
          </w:p>
          <w:p>
            <w:pPr>
              <w:pStyle w:val="TableParagraph"/>
              <w:numPr>
                <w:ilvl w:val="0"/>
                <w:numId w:val="2"/>
              </w:numPr>
              <w:tabs>
                <w:tab w:pos="461" w:val="left" w:leader="none"/>
              </w:tabs>
              <w:spacing w:line="378" w:lineRule="exact" w:before="0" w:after="0"/>
              <w:ind w:left="460" w:right="0" w:hanging="353"/>
              <w:jc w:val="left"/>
              <w:rPr>
                <w:sz w:val="28"/>
              </w:rPr>
            </w:pPr>
            <w:r>
              <w:rPr>
                <w:spacing w:val="-2"/>
                <w:sz w:val="28"/>
              </w:rPr>
              <w:t>發生死亡災害者。</w:t>
            </w:r>
          </w:p>
          <w:p>
            <w:pPr>
              <w:pStyle w:val="TableParagraph"/>
              <w:numPr>
                <w:ilvl w:val="0"/>
                <w:numId w:val="2"/>
              </w:numPr>
              <w:tabs>
                <w:tab w:pos="461" w:val="left" w:leader="none"/>
              </w:tabs>
              <w:spacing w:line="381" w:lineRule="exact" w:before="0" w:after="0"/>
              <w:ind w:left="460" w:right="0" w:hanging="353"/>
              <w:jc w:val="left"/>
              <w:rPr>
                <w:sz w:val="28"/>
              </w:rPr>
            </w:pPr>
            <w:r>
              <w:rPr>
                <w:spacing w:val="-3"/>
                <w:sz w:val="28"/>
              </w:rPr>
              <w:t>發生災害之罹災人數在三人以上者。</w:t>
            </w:r>
          </w:p>
          <w:p>
            <w:pPr>
              <w:pStyle w:val="TableParagraph"/>
              <w:numPr>
                <w:ilvl w:val="0"/>
                <w:numId w:val="2"/>
              </w:numPr>
              <w:tabs>
                <w:tab w:pos="461" w:val="left" w:leader="none"/>
              </w:tabs>
              <w:spacing w:line="232" w:lineRule="auto" w:before="4" w:after="0"/>
              <w:ind w:left="460" w:right="94" w:hanging="353"/>
              <w:jc w:val="left"/>
              <w:rPr>
                <w:sz w:val="28"/>
              </w:rPr>
            </w:pPr>
            <w:r>
              <w:rPr>
                <w:spacing w:val="-15"/>
                <w:sz w:val="28"/>
              </w:rPr>
              <w:t>氨、氯、氟化氫、光氣、硫化氫、二氧化硫等化學物質之洩</w:t>
            </w:r>
            <w:r>
              <w:rPr>
                <w:spacing w:val="-3"/>
                <w:sz w:val="28"/>
              </w:rPr>
              <w:t>漏，發生一人以上罹災勞工需住院治療者。</w:t>
            </w:r>
          </w:p>
          <w:p>
            <w:pPr>
              <w:pStyle w:val="TableParagraph"/>
              <w:numPr>
                <w:ilvl w:val="0"/>
                <w:numId w:val="2"/>
              </w:numPr>
              <w:tabs>
                <w:tab w:pos="461" w:val="left" w:leader="none"/>
              </w:tabs>
              <w:spacing w:line="327" w:lineRule="exact" w:before="0" w:after="0"/>
              <w:ind w:left="460" w:right="0" w:hanging="353"/>
              <w:jc w:val="left"/>
              <w:rPr>
                <w:sz w:val="28"/>
              </w:rPr>
            </w:pPr>
            <w:r>
              <w:rPr>
                <w:spacing w:val="-3"/>
                <w:sz w:val="28"/>
              </w:rPr>
              <w:t>其他經中央主管機關指定公告之災害。</w:t>
            </w:r>
          </w:p>
        </w:tc>
        <w:tc>
          <w:tcPr>
            <w:tcW w:w="567" w:type="dxa"/>
          </w:tcPr>
          <w:p>
            <w:pPr>
              <w:pStyle w:val="TableParagraph"/>
              <w:rPr>
                <w:rFonts w:ascii="Times New Roman"/>
                <w:sz w:val="28"/>
              </w:rPr>
            </w:pPr>
          </w:p>
        </w:tc>
        <w:tc>
          <w:tcPr>
            <w:tcW w:w="567" w:type="dxa"/>
          </w:tcPr>
          <w:p>
            <w:pPr>
              <w:pStyle w:val="TableParagraph"/>
              <w:rPr>
                <w:rFonts w:ascii="Times New Roman"/>
                <w:sz w:val="28"/>
              </w:rPr>
            </w:pPr>
          </w:p>
        </w:tc>
      </w:tr>
      <w:tr>
        <w:trPr>
          <w:trHeight w:val="757" w:hRule="atLeast"/>
        </w:trPr>
        <w:tc>
          <w:tcPr>
            <w:tcW w:w="533" w:type="dxa"/>
          </w:tcPr>
          <w:p>
            <w:pPr>
              <w:pStyle w:val="TableParagraph"/>
              <w:spacing w:before="218"/>
              <w:ind w:right="185"/>
              <w:jc w:val="right"/>
              <w:rPr>
                <w:rFonts w:ascii="Times New Roman"/>
                <w:sz w:val="28"/>
              </w:rPr>
            </w:pPr>
            <w:r>
              <w:rPr>
                <w:rFonts w:ascii="Times New Roman"/>
                <w:w w:val="100"/>
                <w:sz w:val="28"/>
              </w:rPr>
              <w:t>3</w:t>
            </w:r>
          </w:p>
        </w:tc>
        <w:tc>
          <w:tcPr>
            <w:tcW w:w="7685" w:type="dxa"/>
          </w:tcPr>
          <w:p>
            <w:pPr>
              <w:pStyle w:val="TableParagraph"/>
              <w:spacing w:line="380" w:lineRule="exact"/>
              <w:ind w:left="107" w:right="94" w:hanging="1"/>
              <w:rPr>
                <w:sz w:val="28"/>
              </w:rPr>
            </w:pPr>
            <w:r>
              <w:rPr>
                <w:sz w:val="28"/>
              </w:rPr>
              <w:t>申請截止日前三年內，曾發生納稅義務人</w:t>
            </w:r>
            <w:r>
              <w:rPr>
                <w:rFonts w:ascii="Times New Roman" w:eastAsia="Times New Roman"/>
                <w:sz w:val="28"/>
              </w:rPr>
              <w:t>(</w:t>
            </w:r>
            <w:r>
              <w:rPr>
                <w:sz w:val="28"/>
              </w:rPr>
              <w:t>公司負責人</w:t>
            </w:r>
            <w:r>
              <w:rPr>
                <w:rFonts w:ascii="Times New Roman" w:eastAsia="Times New Roman"/>
                <w:sz w:val="28"/>
              </w:rPr>
              <w:t>)</w:t>
            </w:r>
            <w:r>
              <w:rPr>
                <w:sz w:val="28"/>
              </w:rPr>
              <w:t>因逃漏稅捐，而受判刑確定者。</w:t>
            </w:r>
          </w:p>
        </w:tc>
        <w:tc>
          <w:tcPr>
            <w:tcW w:w="567" w:type="dxa"/>
          </w:tcPr>
          <w:p>
            <w:pPr>
              <w:pStyle w:val="TableParagraph"/>
              <w:rPr>
                <w:rFonts w:ascii="Times New Roman"/>
                <w:sz w:val="28"/>
              </w:rPr>
            </w:pPr>
          </w:p>
        </w:tc>
        <w:tc>
          <w:tcPr>
            <w:tcW w:w="567" w:type="dxa"/>
          </w:tcPr>
          <w:p>
            <w:pPr>
              <w:pStyle w:val="TableParagraph"/>
              <w:rPr>
                <w:rFonts w:ascii="Times New Roman"/>
                <w:sz w:val="28"/>
              </w:rPr>
            </w:pPr>
          </w:p>
        </w:tc>
      </w:tr>
      <w:tr>
        <w:trPr>
          <w:trHeight w:val="1139" w:hRule="atLeast"/>
        </w:trPr>
        <w:tc>
          <w:tcPr>
            <w:tcW w:w="533" w:type="dxa"/>
          </w:tcPr>
          <w:p>
            <w:pPr>
              <w:pStyle w:val="TableParagraph"/>
              <w:spacing w:before="2"/>
              <w:rPr>
                <w:sz w:val="29"/>
              </w:rPr>
            </w:pPr>
          </w:p>
          <w:p>
            <w:pPr>
              <w:pStyle w:val="TableParagraph"/>
              <w:spacing w:before="1"/>
              <w:ind w:right="185"/>
              <w:jc w:val="right"/>
              <w:rPr>
                <w:rFonts w:ascii="Times New Roman"/>
                <w:sz w:val="28"/>
              </w:rPr>
            </w:pPr>
            <w:r>
              <w:rPr>
                <w:rFonts w:ascii="Times New Roman"/>
                <w:w w:val="100"/>
                <w:sz w:val="28"/>
              </w:rPr>
              <w:t>4</w:t>
            </w:r>
          </w:p>
        </w:tc>
        <w:tc>
          <w:tcPr>
            <w:tcW w:w="7685" w:type="dxa"/>
          </w:tcPr>
          <w:p>
            <w:pPr>
              <w:pStyle w:val="TableParagraph"/>
              <w:spacing w:line="380" w:lineRule="exact" w:before="1"/>
              <w:ind w:left="107" w:right="96"/>
              <w:jc w:val="both"/>
              <w:rPr>
                <w:sz w:val="28"/>
              </w:rPr>
            </w:pPr>
            <w:r>
              <w:rPr>
                <w:spacing w:val="-11"/>
                <w:sz w:val="28"/>
              </w:rPr>
              <w:t>申請截止日前三年內，公司負責人或其所屬員工曾發生於工作</w:t>
            </w:r>
            <w:r>
              <w:rPr>
                <w:spacing w:val="-12"/>
                <w:sz w:val="28"/>
              </w:rPr>
              <w:t>中違反環境保護、食品、藥品安全等與本獎項審查構面相關之</w:t>
            </w:r>
            <w:r>
              <w:rPr>
                <w:spacing w:val="-3"/>
                <w:sz w:val="28"/>
              </w:rPr>
              <w:t>法規，受徒刑處分，判決確定者。</w:t>
            </w:r>
          </w:p>
        </w:tc>
        <w:tc>
          <w:tcPr>
            <w:tcW w:w="567" w:type="dxa"/>
          </w:tcPr>
          <w:p>
            <w:pPr>
              <w:pStyle w:val="TableParagraph"/>
              <w:rPr>
                <w:rFonts w:ascii="Times New Roman"/>
                <w:sz w:val="28"/>
              </w:rPr>
            </w:pPr>
          </w:p>
        </w:tc>
        <w:tc>
          <w:tcPr>
            <w:tcW w:w="567" w:type="dxa"/>
          </w:tcPr>
          <w:p>
            <w:pPr>
              <w:pStyle w:val="TableParagraph"/>
              <w:rPr>
                <w:rFonts w:ascii="Times New Roman"/>
                <w:sz w:val="28"/>
              </w:rPr>
            </w:pPr>
          </w:p>
        </w:tc>
      </w:tr>
      <w:tr>
        <w:trPr>
          <w:trHeight w:val="841" w:hRule="atLeast"/>
        </w:trPr>
        <w:tc>
          <w:tcPr>
            <w:tcW w:w="533" w:type="dxa"/>
          </w:tcPr>
          <w:p>
            <w:pPr>
              <w:pStyle w:val="TableParagraph"/>
              <w:spacing w:before="258"/>
              <w:ind w:right="185"/>
              <w:jc w:val="right"/>
              <w:rPr>
                <w:rFonts w:ascii="Times New Roman"/>
                <w:sz w:val="28"/>
              </w:rPr>
            </w:pPr>
            <w:r>
              <w:rPr>
                <w:rFonts w:ascii="Times New Roman"/>
                <w:w w:val="100"/>
                <w:sz w:val="28"/>
              </w:rPr>
              <w:t>5</w:t>
            </w:r>
          </w:p>
        </w:tc>
        <w:tc>
          <w:tcPr>
            <w:tcW w:w="7685" w:type="dxa"/>
          </w:tcPr>
          <w:p>
            <w:pPr>
              <w:pStyle w:val="TableParagraph"/>
              <w:spacing w:line="380" w:lineRule="exact" w:before="40"/>
              <w:ind w:left="107" w:right="96"/>
              <w:rPr>
                <w:sz w:val="28"/>
              </w:rPr>
            </w:pPr>
            <w:r>
              <w:rPr>
                <w:spacing w:val="-11"/>
                <w:sz w:val="28"/>
              </w:rPr>
              <w:t>申請截止日前三年內，公司負責人或其所屬員工曾發生於工作</w:t>
            </w:r>
            <w:r>
              <w:rPr>
                <w:spacing w:val="-3"/>
                <w:sz w:val="28"/>
              </w:rPr>
              <w:t>中侵害他人智慧財產權，受有期徒刑以上判決確定者。</w:t>
            </w:r>
          </w:p>
        </w:tc>
        <w:tc>
          <w:tcPr>
            <w:tcW w:w="567" w:type="dxa"/>
          </w:tcPr>
          <w:p>
            <w:pPr>
              <w:pStyle w:val="TableParagraph"/>
              <w:rPr>
                <w:rFonts w:ascii="Times New Roman"/>
                <w:sz w:val="28"/>
              </w:rPr>
            </w:pPr>
          </w:p>
        </w:tc>
        <w:tc>
          <w:tcPr>
            <w:tcW w:w="567" w:type="dxa"/>
          </w:tcPr>
          <w:p>
            <w:pPr>
              <w:pStyle w:val="TableParagraph"/>
              <w:rPr>
                <w:rFonts w:ascii="Times New Roman"/>
                <w:sz w:val="28"/>
              </w:rPr>
            </w:pPr>
          </w:p>
        </w:tc>
      </w:tr>
    </w:tbl>
    <w:p>
      <w:pPr>
        <w:pStyle w:val="BodyText"/>
        <w:spacing w:before="7"/>
        <w:rPr>
          <w:sz w:val="41"/>
        </w:rPr>
      </w:pPr>
    </w:p>
    <w:p>
      <w:pPr>
        <w:tabs>
          <w:tab w:pos="4928" w:val="left" w:leader="none"/>
        </w:tabs>
        <w:spacing w:before="0"/>
        <w:ind w:left="106" w:right="0" w:firstLine="0"/>
        <w:jc w:val="left"/>
        <w:rPr>
          <w:sz w:val="32"/>
        </w:rPr>
      </w:pPr>
      <w:r>
        <w:rPr>
          <w:sz w:val="32"/>
        </w:rPr>
        <w:t>參獎</w:t>
      </w:r>
      <w:r>
        <w:rPr>
          <w:spacing w:val="-22"/>
          <w:sz w:val="32"/>
        </w:rPr>
        <w:t>公</w:t>
      </w:r>
      <w:r>
        <w:rPr>
          <w:spacing w:val="-24"/>
          <w:sz w:val="32"/>
        </w:rPr>
        <w:t>司</w:t>
      </w:r>
      <w:r>
        <w:rPr>
          <w:sz w:val="32"/>
        </w:rPr>
        <w:t>(簽章)：</w:t>
        <w:tab/>
        <w:t>負</w:t>
      </w:r>
      <w:r>
        <w:rPr>
          <w:spacing w:val="-8"/>
          <w:sz w:val="32"/>
        </w:rPr>
        <w:t>責</w:t>
      </w:r>
      <w:r>
        <w:rPr>
          <w:spacing w:val="-3"/>
          <w:sz w:val="32"/>
        </w:rPr>
        <w:t>人</w:t>
      </w:r>
      <w:r>
        <w:rPr>
          <w:sz w:val="32"/>
        </w:rPr>
        <w:t>(簽章)：</w:t>
      </w:r>
    </w:p>
    <w:p>
      <w:pPr>
        <w:pStyle w:val="BodyText"/>
        <w:rPr>
          <w:sz w:val="32"/>
        </w:rPr>
      </w:pPr>
    </w:p>
    <w:p>
      <w:pPr>
        <w:pStyle w:val="BodyText"/>
        <w:rPr>
          <w:sz w:val="32"/>
        </w:rPr>
      </w:pPr>
    </w:p>
    <w:p>
      <w:pPr>
        <w:pStyle w:val="BodyText"/>
        <w:tabs>
          <w:tab w:pos="4260" w:val="left" w:leader="none"/>
          <w:tab w:pos="5072" w:val="left" w:leader="none"/>
          <w:tab w:pos="5911" w:val="left" w:leader="none"/>
        </w:tabs>
        <w:spacing w:before="267"/>
        <w:ind w:left="2595"/>
      </w:pPr>
      <w:r>
        <w:rPr/>
        <w:t>中華民國</w:t>
        <w:tab/>
        <w:t>年</w:t>
        <w:tab/>
        <w:t>月</w:t>
        <w:tab/>
        <w:t>日</w:t>
      </w:r>
    </w:p>
    <w:p>
      <w:pPr>
        <w:pStyle w:val="BodyText"/>
        <w:rPr>
          <w:sz w:val="20"/>
        </w:rPr>
      </w:pPr>
    </w:p>
    <w:p>
      <w:pPr>
        <w:pStyle w:val="BodyText"/>
        <w:spacing w:before="12"/>
      </w:pPr>
    </w:p>
    <w:p>
      <w:pPr>
        <w:spacing w:before="59"/>
        <w:ind w:left="0" w:right="300" w:firstLine="0"/>
        <w:jc w:val="center"/>
        <w:rPr>
          <w:rFonts w:ascii="Calibri"/>
          <w:sz w:val="20"/>
        </w:rPr>
      </w:pPr>
      <w:r>
        <w:rPr>
          <w:rFonts w:ascii="Calibri"/>
          <w:w w:val="99"/>
          <w:sz w:val="20"/>
        </w:rPr>
        <w:t>9</w:t>
      </w:r>
    </w:p>
    <w:sectPr>
      <w:type w:val="continuous"/>
      <w:pgSz w:w="11910" w:h="16840"/>
      <w:pgMar w:top="0" w:bottom="280" w:left="12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標楷體">
    <w:altName w:val="標楷體"/>
    <w:charset w:val="88"/>
    <w:family w:val="script"/>
    <w:pitch w:val="fixed"/>
  </w:font>
  <w:font w:name="Calibri">
    <w:altName w:val="Calibri"/>
    <w:charset w:val="0"/>
    <w:family w:val="swiss"/>
    <w:pitch w:val="variable"/>
  </w:font>
  <w:font w:name="華康魏碑體">
    <w:altName w:val="華康魏碑體"/>
    <w:charset w:val="88"/>
    <w:family w:val="script"/>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0" w:hanging="353"/>
        <w:jc w:val="left"/>
      </w:pPr>
      <w:rPr>
        <w:rFonts w:hint="default" w:ascii="Times New Roman" w:hAnsi="Times New Roman" w:eastAsia="Times New Roman" w:cs="Times New Roman"/>
        <w:w w:val="100"/>
        <w:sz w:val="28"/>
        <w:szCs w:val="28"/>
      </w:rPr>
    </w:lvl>
    <w:lvl w:ilvl="1">
      <w:start w:val="0"/>
      <w:numFmt w:val="bullet"/>
      <w:lvlText w:val="•"/>
      <w:lvlJc w:val="left"/>
      <w:pPr>
        <w:ind w:left="1181" w:hanging="353"/>
      </w:pPr>
      <w:rPr>
        <w:rFonts w:hint="default"/>
      </w:rPr>
    </w:lvl>
    <w:lvl w:ilvl="2">
      <w:start w:val="0"/>
      <w:numFmt w:val="bullet"/>
      <w:lvlText w:val="•"/>
      <w:lvlJc w:val="left"/>
      <w:pPr>
        <w:ind w:left="1903" w:hanging="353"/>
      </w:pPr>
      <w:rPr>
        <w:rFonts w:hint="default"/>
      </w:rPr>
    </w:lvl>
    <w:lvl w:ilvl="3">
      <w:start w:val="0"/>
      <w:numFmt w:val="bullet"/>
      <w:lvlText w:val="•"/>
      <w:lvlJc w:val="left"/>
      <w:pPr>
        <w:ind w:left="2624" w:hanging="353"/>
      </w:pPr>
      <w:rPr>
        <w:rFonts w:hint="default"/>
      </w:rPr>
    </w:lvl>
    <w:lvl w:ilvl="4">
      <w:start w:val="0"/>
      <w:numFmt w:val="bullet"/>
      <w:lvlText w:val="•"/>
      <w:lvlJc w:val="left"/>
      <w:pPr>
        <w:ind w:left="3346" w:hanging="353"/>
      </w:pPr>
      <w:rPr>
        <w:rFonts w:hint="default"/>
      </w:rPr>
    </w:lvl>
    <w:lvl w:ilvl="5">
      <w:start w:val="0"/>
      <w:numFmt w:val="bullet"/>
      <w:lvlText w:val="•"/>
      <w:lvlJc w:val="left"/>
      <w:pPr>
        <w:ind w:left="4067" w:hanging="353"/>
      </w:pPr>
      <w:rPr>
        <w:rFonts w:hint="default"/>
      </w:rPr>
    </w:lvl>
    <w:lvl w:ilvl="6">
      <w:start w:val="0"/>
      <w:numFmt w:val="bullet"/>
      <w:lvlText w:val="•"/>
      <w:lvlJc w:val="left"/>
      <w:pPr>
        <w:ind w:left="4789" w:hanging="353"/>
      </w:pPr>
      <w:rPr>
        <w:rFonts w:hint="default"/>
      </w:rPr>
    </w:lvl>
    <w:lvl w:ilvl="7">
      <w:start w:val="0"/>
      <w:numFmt w:val="bullet"/>
      <w:lvlText w:val="•"/>
      <w:lvlJc w:val="left"/>
      <w:pPr>
        <w:ind w:left="5510" w:hanging="353"/>
      </w:pPr>
      <w:rPr>
        <w:rFonts w:hint="default"/>
      </w:rPr>
    </w:lvl>
    <w:lvl w:ilvl="8">
      <w:start w:val="0"/>
      <w:numFmt w:val="bullet"/>
      <w:lvlText w:val="•"/>
      <w:lvlJc w:val="left"/>
      <w:pPr>
        <w:ind w:left="6232" w:hanging="353"/>
      </w:pPr>
      <w:rPr>
        <w:rFonts w:hint="default"/>
      </w:rPr>
    </w:lvl>
  </w:abstractNum>
  <w:abstractNum w:abstractNumId="0">
    <w:multiLevelType w:val="hybridMultilevel"/>
    <w:lvl w:ilvl="0">
      <w:start w:val="1"/>
      <w:numFmt w:val="decimal"/>
      <w:lvlText w:val="(%1)"/>
      <w:lvlJc w:val="left"/>
      <w:pPr>
        <w:ind w:left="460" w:hanging="353"/>
        <w:jc w:val="left"/>
      </w:pPr>
      <w:rPr>
        <w:rFonts w:hint="default" w:ascii="Times New Roman" w:hAnsi="Times New Roman" w:eastAsia="Times New Roman" w:cs="Times New Roman"/>
        <w:w w:val="100"/>
        <w:sz w:val="28"/>
        <w:szCs w:val="28"/>
      </w:rPr>
    </w:lvl>
    <w:lvl w:ilvl="1">
      <w:start w:val="0"/>
      <w:numFmt w:val="bullet"/>
      <w:lvlText w:val="•"/>
      <w:lvlJc w:val="left"/>
      <w:pPr>
        <w:ind w:left="1181" w:hanging="353"/>
      </w:pPr>
      <w:rPr>
        <w:rFonts w:hint="default"/>
      </w:rPr>
    </w:lvl>
    <w:lvl w:ilvl="2">
      <w:start w:val="0"/>
      <w:numFmt w:val="bullet"/>
      <w:lvlText w:val="•"/>
      <w:lvlJc w:val="left"/>
      <w:pPr>
        <w:ind w:left="1903" w:hanging="353"/>
      </w:pPr>
      <w:rPr>
        <w:rFonts w:hint="default"/>
      </w:rPr>
    </w:lvl>
    <w:lvl w:ilvl="3">
      <w:start w:val="0"/>
      <w:numFmt w:val="bullet"/>
      <w:lvlText w:val="•"/>
      <w:lvlJc w:val="left"/>
      <w:pPr>
        <w:ind w:left="2624" w:hanging="353"/>
      </w:pPr>
      <w:rPr>
        <w:rFonts w:hint="default"/>
      </w:rPr>
    </w:lvl>
    <w:lvl w:ilvl="4">
      <w:start w:val="0"/>
      <w:numFmt w:val="bullet"/>
      <w:lvlText w:val="•"/>
      <w:lvlJc w:val="left"/>
      <w:pPr>
        <w:ind w:left="3346" w:hanging="353"/>
      </w:pPr>
      <w:rPr>
        <w:rFonts w:hint="default"/>
      </w:rPr>
    </w:lvl>
    <w:lvl w:ilvl="5">
      <w:start w:val="0"/>
      <w:numFmt w:val="bullet"/>
      <w:lvlText w:val="•"/>
      <w:lvlJc w:val="left"/>
      <w:pPr>
        <w:ind w:left="4067" w:hanging="353"/>
      </w:pPr>
      <w:rPr>
        <w:rFonts w:hint="default"/>
      </w:rPr>
    </w:lvl>
    <w:lvl w:ilvl="6">
      <w:start w:val="0"/>
      <w:numFmt w:val="bullet"/>
      <w:lvlText w:val="•"/>
      <w:lvlJc w:val="left"/>
      <w:pPr>
        <w:ind w:left="4789" w:hanging="353"/>
      </w:pPr>
      <w:rPr>
        <w:rFonts w:hint="default"/>
      </w:rPr>
    </w:lvl>
    <w:lvl w:ilvl="7">
      <w:start w:val="0"/>
      <w:numFmt w:val="bullet"/>
      <w:lvlText w:val="•"/>
      <w:lvlJc w:val="left"/>
      <w:pPr>
        <w:ind w:left="5510" w:hanging="353"/>
      </w:pPr>
      <w:rPr>
        <w:rFonts w:hint="default"/>
      </w:rPr>
    </w:lvl>
    <w:lvl w:ilvl="8">
      <w:start w:val="0"/>
      <w:numFmt w:val="bullet"/>
      <w:lvlText w:val="•"/>
      <w:lvlJc w:val="left"/>
      <w:pPr>
        <w:ind w:left="6232" w:hanging="353"/>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rPr>
  </w:style>
  <w:style w:styleId="BodyText" w:type="paragraph">
    <w:name w:val="Body Text"/>
    <w:basedOn w:val="Normal"/>
    <w:uiPriority w:val="1"/>
    <w:qFormat/>
    <w:pPr/>
    <w:rPr>
      <w:rFonts w:ascii="標楷體" w:hAnsi="標楷體" w:eastAsia="標楷體" w:cs="標楷體"/>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標楷體" w:hAnsi="標楷體" w:eastAsia="標楷體" w:cs="標楷體"/>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ctuna</dc:creator>
  <dcterms:created xsi:type="dcterms:W3CDTF">2024-10-07T07:02:19Z</dcterms:created>
  <dcterms:modified xsi:type="dcterms:W3CDTF">2024-10-07T07:02:19Z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Acrobat PDFMaker 19 Word 版</vt:lpwstr>
  </property>
  <property fmtid="{D5CDD505-2E9C-101B-9397-08002B2CF9AE}" pid="4" name="LastSaved">
    <vt:filetime>2024-10-07T00:00:00Z</vt:filetime>
  </property>
</Properties>
</file>